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КРИТЕРИ</w:t>
      </w:r>
      <w:r>
        <w:rPr>
          <w:b/>
          <w:sz w:val="20"/>
          <w:szCs w:val="20"/>
        </w:rPr>
        <w:t xml:space="preserve">И </w:t>
      </w:r>
      <w:r>
        <w:rPr>
          <w:b/>
          <w:sz w:val="20"/>
          <w:szCs w:val="20"/>
        </w:rPr>
        <w:t xml:space="preserve">ОЦЕНИВАНИЯ </w:t>
      </w:r>
      <w:r>
        <w:rPr>
          <w:b/>
          <w:sz w:val="20"/>
          <w:szCs w:val="20"/>
        </w:rPr>
        <w:t xml:space="preserve">ИТОГОВОГО </w:t>
      </w:r>
      <w:r>
        <w:rPr>
          <w:b/>
          <w:sz w:val="20"/>
          <w:szCs w:val="20"/>
        </w:rPr>
        <w:t xml:space="preserve">СОЧИНЕНИЯ</w:t>
      </w:r>
      <w:r>
        <w:rPr>
          <w:b/>
          <w:sz w:val="20"/>
          <w:szCs w:val="20"/>
        </w:rPr>
        <w:t xml:space="preserve"> (11 класс)</w:t>
      </w:r>
    </w:p>
    <w:p>
      <w:pPr>
        <w:ind w:firstLine="851"/>
        <w:jc w:val="both"/>
        <w:rPr>
          <w:sz w:val="20"/>
          <w:szCs w:val="20"/>
        </w:rPr>
      </w:pP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Оценка по литературе выставляется за сочинение по</w:t>
      </w:r>
      <w:r>
        <w:rPr>
          <w:b/>
          <w:sz w:val="20"/>
          <w:szCs w:val="20"/>
        </w:rPr>
        <w:t xml:space="preserve"> нескольким критериям</w:t>
      </w:r>
      <w:r>
        <w:rPr>
          <w:sz w:val="20"/>
          <w:szCs w:val="20"/>
        </w:rPr>
        <w:t xml:space="preserve">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Первые два критерия </w:t>
      </w:r>
      <w:r>
        <w:rPr>
          <w:b/>
          <w:sz w:val="20"/>
          <w:szCs w:val="20"/>
        </w:rPr>
        <w:t xml:space="preserve">(№ 1 - объём и № 2 - самостоятельность работы</w:t>
      </w:r>
      <w:r>
        <w:rPr>
          <w:sz w:val="20"/>
          <w:szCs w:val="20"/>
        </w:rPr>
        <w:t xml:space="preserve">) являются </w:t>
      </w:r>
      <w:r>
        <w:rPr>
          <w:b/>
          <w:sz w:val="20"/>
          <w:szCs w:val="20"/>
        </w:rPr>
        <w:t xml:space="preserve">условиями допуска сочинения к дальнейшему оцениванию</w:t>
      </w:r>
      <w:r>
        <w:rPr>
          <w:sz w:val="20"/>
          <w:szCs w:val="20"/>
        </w:rPr>
        <w:t xml:space="preserve">. Для получения допуска к оцениванию сочинения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целом). 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Если в сочинении </w:t>
      </w:r>
      <w:r>
        <w:rPr>
          <w:b/>
          <w:sz w:val="20"/>
          <w:szCs w:val="20"/>
        </w:rPr>
        <w:t xml:space="preserve">менее 250 слов</w:t>
      </w:r>
      <w:r>
        <w:rPr>
          <w:sz w:val="20"/>
          <w:szCs w:val="20"/>
        </w:rPr>
        <w:t xml:space="preserve">, то такая </w:t>
      </w:r>
      <w:r>
        <w:rPr>
          <w:b/>
          <w:sz w:val="20"/>
          <w:szCs w:val="20"/>
        </w:rPr>
        <w:t xml:space="preserve">работа считается невыполненной и не оценивается</w:t>
      </w:r>
      <w:r>
        <w:rPr>
          <w:sz w:val="20"/>
          <w:szCs w:val="20"/>
        </w:rPr>
        <w:t xml:space="preserve">. В этом случае проверяющий учитель выставляет по всем критериям 0 баллов. </w:t>
      </w:r>
      <w:r>
        <w:rPr>
          <w:b/>
          <w:sz w:val="20"/>
          <w:szCs w:val="20"/>
        </w:rPr>
        <w:t xml:space="preserve">В графу «Итоговая отметка» вписывается: «незачёт».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Максимальное количество слов в сочинении не установлено. Рекомендуемое количество слов в сочинении – 350 - 400 слов.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Критерий «Самостоятельность работы» также является ключевым при допуске работы к дальнейшей проверке. Если сочинение списано из какого-либо источника, включая интернет, то за такую работу ставится «0». Если при проверке сочинения по данному критерию поставлено «0» баллов, то работа считается </w:t>
      </w:r>
      <w:r>
        <w:rPr>
          <w:b/>
          <w:sz w:val="20"/>
          <w:szCs w:val="20"/>
        </w:rPr>
        <w:t xml:space="preserve">невыполненной и дальше не проверяется: по всем остальным критериям выставляется «0» баллов.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 графу «Итоговая отметка» вписывается: «незачёт».</w:t>
      </w:r>
    </w:p>
    <w:p>
      <w:pPr>
        <w:jc w:val="both"/>
        <w:rPr>
          <w:sz w:val="20"/>
          <w:szCs w:val="20"/>
        </w:rPr>
      </w:pP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3608"/>
        <w:gridCol w:w="993"/>
      </w:tblGrid>
      <w:tr>
        <w:tc>
          <w:tcPr>
            <w:tcW w:w="14601" w:type="dxa"/>
            <w:gridSpan w:val="2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Критерий № 1 Соответствие теме и глубина её раскрытия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формулировка тезиса </w:t>
            </w:r>
          </w:p>
        </w:tc>
      </w:tr>
      <w:tr>
        <w:trPr>
          <w:trHeight w:val="275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раскрывает тему сочинения </w:t>
            </w:r>
            <w:r>
              <w:rPr>
                <w:sz w:val="20"/>
                <w:szCs w:val="20"/>
              </w:rPr>
              <w:t xml:space="preserve">многосторонне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 глубоко, точно и четко формулирует тезис </w:t>
            </w:r>
            <w:r>
              <w:rPr>
                <w:sz w:val="20"/>
                <w:szCs w:val="20"/>
              </w:rPr>
              <w:t xml:space="preserve">(в одной из частей сочинения)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отвеча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на поставленный </w:t>
            </w:r>
            <w:r>
              <w:rPr>
                <w:sz w:val="20"/>
                <w:szCs w:val="20"/>
              </w:rPr>
              <w:t xml:space="preserve">в теме </w:t>
            </w:r>
            <w:r>
              <w:rPr>
                <w:sz w:val="20"/>
                <w:szCs w:val="20"/>
              </w:rPr>
              <w:t xml:space="preserve">вопрос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</w:tr>
      <w:tr>
        <w:trPr>
          <w:trHeight w:val="275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раскрывает тему сочинения поверхностно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формулирует тезис размыто и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или отвечает на поставленный вопрос односложно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</w:p>
        </w:tc>
      </w:tr>
      <w:tr>
        <w:trPr>
          <w:trHeight w:val="275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</w:t>
            </w:r>
            <w:r>
              <w:rPr>
                <w:sz w:val="20"/>
                <w:szCs w:val="20"/>
              </w:rPr>
              <w:t xml:space="preserve">я не раскрывает тему сочинения, не даёт ответа на </w:t>
            </w:r>
            <w:r>
              <w:rPr>
                <w:sz w:val="20"/>
                <w:szCs w:val="20"/>
              </w:rPr>
              <w:t xml:space="preserve">вопрос</w:t>
            </w:r>
            <w:r>
              <w:rPr>
                <w:sz w:val="20"/>
                <w:szCs w:val="20"/>
              </w:rPr>
              <w:t xml:space="preserve"> темы сочинения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тезис отсутствует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</w:p>
        </w:tc>
      </w:tr>
      <w:tr>
        <w:trPr>
          <w:trHeight w:val="275"/>
        </w:trPr>
        <w:tc>
          <w:tcPr>
            <w:tcW w:w="14601" w:type="dxa"/>
            <w:gridSpan w:val="2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Критерий № 2. Аргументация, привлечение литературного материала. Знание текста художественного произведения и/или фактов истории, культуры </w:t>
            </w:r>
          </w:p>
        </w:tc>
      </w:tr>
      <w:tr>
        <w:trPr>
          <w:trHeight w:val="252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строит рассуждение, привлекая для аргументации не менее </w:t>
            </w:r>
            <w:r>
              <w:rPr>
                <w:sz w:val="20"/>
                <w:szCs w:val="20"/>
              </w:rPr>
              <w:t xml:space="preserve">ДВУХ примеров из литературного текста (одного или более, отечественной или зарубежной литературы). При этом демонстрирует</w:t>
            </w:r>
            <w:r>
              <w:rPr>
                <w:sz w:val="20"/>
                <w:szCs w:val="20"/>
              </w:rPr>
              <w:t xml:space="preserve"> знание текста, </w:t>
            </w:r>
            <w:r>
              <w:rPr>
                <w:sz w:val="20"/>
                <w:szCs w:val="20"/>
              </w:rPr>
              <w:t xml:space="preserve">анализируя или эпизод, или портрет, или деталь, или образ, </w:t>
            </w:r>
            <w:r>
              <w:rPr>
                <w:sz w:val="20"/>
                <w:szCs w:val="20"/>
              </w:rPr>
              <w:t xml:space="preserve">интерпретиру</w:t>
            </w:r>
            <w:r>
              <w:rPr>
                <w:sz w:val="20"/>
                <w:szCs w:val="20"/>
              </w:rPr>
              <w:t xml:space="preserve">я и комментируя их 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</w:p>
        </w:tc>
      </w:tr>
      <w:tr>
        <w:trPr>
          <w:trHeight w:val="252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строит рассуждение, привлекая для аргументации </w:t>
            </w:r>
            <w:r>
              <w:rPr>
                <w:sz w:val="20"/>
                <w:szCs w:val="20"/>
              </w:rPr>
              <w:t xml:space="preserve">ОДИН</w:t>
            </w:r>
            <w:r>
              <w:rPr>
                <w:sz w:val="20"/>
                <w:szCs w:val="20"/>
              </w:rPr>
              <w:t xml:space="preserve"> пример из литературного текста (отечественной или зарубежной литературы)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При этом демонстрирует</w:t>
            </w:r>
            <w:r>
              <w:rPr>
                <w:sz w:val="20"/>
                <w:szCs w:val="20"/>
              </w:rPr>
              <w:t xml:space="preserve"> знание текста, </w:t>
            </w:r>
            <w:r>
              <w:rPr>
                <w:sz w:val="20"/>
                <w:szCs w:val="20"/>
              </w:rPr>
              <w:t xml:space="preserve">анализируя или эпизод, или портрет, или деталь, или образ, </w:t>
            </w:r>
            <w:r>
              <w:rPr>
                <w:sz w:val="20"/>
                <w:szCs w:val="20"/>
              </w:rPr>
              <w:t xml:space="preserve">интерпретиру</w:t>
            </w:r>
            <w:r>
              <w:rPr>
                <w:sz w:val="20"/>
                <w:szCs w:val="20"/>
              </w:rPr>
              <w:t xml:space="preserve">я и комментируя их</w:t>
            </w:r>
            <w:r>
              <w:rPr>
                <w:sz w:val="20"/>
                <w:szCs w:val="20"/>
              </w:rPr>
              <w:t xml:space="preserve">. Второй аргумент или не приводится, или приводится на уровне общих рассуждений </w:t>
            </w:r>
            <w:r>
              <w:rPr>
                <w:sz w:val="20"/>
                <w:szCs w:val="20"/>
              </w:rPr>
              <w:t xml:space="preserve">или пересказа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</w:p>
        </w:tc>
      </w:tr>
      <w:tr>
        <w:trPr>
          <w:trHeight w:val="252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привлекает для аргументации ДВА литературных примера, но демонстрирует</w:t>
            </w:r>
            <w:r>
              <w:rPr>
                <w:sz w:val="20"/>
                <w:szCs w:val="20"/>
              </w:rPr>
              <w:t xml:space="preserve"> недостаточное знание текста и/или недостаточное умение его анализировать и интерпретировать, подменя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анализ и интерпретацию пересказом</w:t>
            </w:r>
            <w:r>
              <w:rPr>
                <w:sz w:val="20"/>
                <w:szCs w:val="20"/>
              </w:rPr>
              <w:t xml:space="preserve"> или общими рассуждениями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</w:tr>
      <w:tr>
        <w:trPr>
          <w:trHeight w:val="252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привлекает для аргументации </w:t>
            </w:r>
            <w:r>
              <w:rPr>
                <w:sz w:val="20"/>
                <w:szCs w:val="20"/>
              </w:rPr>
              <w:t xml:space="preserve">ОДИН</w:t>
            </w:r>
            <w:r>
              <w:rPr>
                <w:sz w:val="20"/>
                <w:szCs w:val="20"/>
              </w:rPr>
              <w:t xml:space="preserve"> литературны</w:t>
            </w:r>
            <w:r>
              <w:rPr>
                <w:sz w:val="20"/>
                <w:szCs w:val="20"/>
              </w:rPr>
              <w:t xml:space="preserve">й</w:t>
            </w:r>
            <w:r>
              <w:rPr>
                <w:sz w:val="20"/>
                <w:szCs w:val="20"/>
              </w:rPr>
              <w:t xml:space="preserve"> пример, </w:t>
            </w:r>
            <w:r>
              <w:rPr>
                <w:sz w:val="20"/>
                <w:szCs w:val="20"/>
              </w:rPr>
              <w:t xml:space="preserve">при этом </w:t>
            </w:r>
            <w:r>
              <w:rPr>
                <w:sz w:val="20"/>
                <w:szCs w:val="20"/>
              </w:rPr>
              <w:t xml:space="preserve">демонстриру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недостаточное знание текста и/или недостаточное умение его анализировать и интерпретировать, подменя</w:t>
            </w:r>
            <w:r>
              <w:rPr>
                <w:sz w:val="20"/>
                <w:szCs w:val="20"/>
              </w:rPr>
              <w:t xml:space="preserve">ет</w:t>
            </w:r>
            <w:r>
              <w:rPr>
                <w:sz w:val="20"/>
                <w:szCs w:val="20"/>
              </w:rPr>
              <w:t xml:space="preserve"> анализ и интерпретацию пересказом</w:t>
            </w:r>
            <w:r>
              <w:rPr>
                <w:sz w:val="20"/>
                <w:szCs w:val="20"/>
              </w:rPr>
              <w:t xml:space="preserve"> или общими рассуждениями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</w:p>
        </w:tc>
      </w:tr>
      <w:tr>
        <w:trPr>
          <w:trHeight w:val="252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написано без привлечения лите</w:t>
            </w:r>
            <w:r>
              <w:rPr>
                <w:sz w:val="20"/>
                <w:szCs w:val="20"/>
              </w:rPr>
              <w:t xml:space="preserve">ратурного материала </w:t>
            </w:r>
            <w:r>
              <w:rPr>
                <w:sz w:val="20"/>
                <w:szCs w:val="20"/>
              </w:rPr>
              <w:t xml:space="preserve">или </w:t>
            </w:r>
            <w:r>
              <w:rPr>
                <w:sz w:val="20"/>
                <w:szCs w:val="20"/>
              </w:rPr>
              <w:t xml:space="preserve">литературные произведения лишь упоминаются в работе, не ст</w:t>
            </w:r>
            <w:r>
              <w:rPr>
                <w:sz w:val="20"/>
                <w:szCs w:val="20"/>
              </w:rPr>
              <w:t xml:space="preserve">ановясь опорой для рассуждения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</w:p>
        </w:tc>
      </w:tr>
      <w:tr>
        <w:tc>
          <w:tcPr>
            <w:tcW w:w="14601" w:type="dxa"/>
            <w:gridSpan w:val="2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Критерий № 3. Композиция и логика рассуждения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характеризу</w:t>
            </w:r>
            <w:r>
              <w:rPr>
                <w:sz w:val="20"/>
                <w:szCs w:val="20"/>
              </w:rPr>
              <w:t xml:space="preserve">ется композиционной цельностью и содержит в той или иной форме вступление, основную часть и вывод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асти </w:t>
            </w:r>
            <w:r>
              <w:rPr>
                <w:sz w:val="20"/>
                <w:szCs w:val="20"/>
              </w:rPr>
              <w:t xml:space="preserve">сочинения </w:t>
            </w:r>
            <w:r>
              <w:rPr>
                <w:sz w:val="20"/>
                <w:szCs w:val="20"/>
              </w:rPr>
              <w:t xml:space="preserve">логично связаны, внутри смысловых частей нет нарушений последовательности и необоснованных повторов. </w:t>
            </w:r>
            <w:r>
              <w:rPr>
                <w:sz w:val="20"/>
                <w:szCs w:val="20"/>
              </w:rPr>
              <w:t xml:space="preserve">Логических ошибок нет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характеризу</w:t>
            </w:r>
            <w:r>
              <w:rPr>
                <w:sz w:val="20"/>
                <w:szCs w:val="20"/>
              </w:rPr>
              <w:t xml:space="preserve">ется композиционной цельностью и содержит в той или иной форме вступление, основную часть и вывод. Ч</w:t>
            </w:r>
            <w:r>
              <w:rPr>
                <w:sz w:val="20"/>
                <w:szCs w:val="20"/>
              </w:rPr>
              <w:t xml:space="preserve">асти </w:t>
            </w:r>
            <w:r>
              <w:rPr>
                <w:sz w:val="20"/>
                <w:szCs w:val="20"/>
              </w:rPr>
              <w:t xml:space="preserve">сочинения </w:t>
            </w:r>
            <w:r>
              <w:rPr>
                <w:sz w:val="20"/>
                <w:szCs w:val="20"/>
              </w:rPr>
              <w:t xml:space="preserve">логично связаны, </w:t>
            </w:r>
            <w:r>
              <w:rPr>
                <w:sz w:val="20"/>
                <w:szCs w:val="20"/>
              </w:rPr>
              <w:t xml:space="preserve">но </w:t>
            </w:r>
            <w:r>
              <w:rPr>
                <w:sz w:val="20"/>
                <w:szCs w:val="20"/>
              </w:rPr>
              <w:t xml:space="preserve">внутри смысловых частей </w:t>
            </w:r>
            <w:r>
              <w:rPr>
                <w:sz w:val="20"/>
                <w:szCs w:val="20"/>
              </w:rPr>
              <w:t xml:space="preserve">есть незначительные </w:t>
            </w:r>
            <w:r>
              <w:rPr>
                <w:sz w:val="20"/>
                <w:szCs w:val="20"/>
              </w:rPr>
              <w:t xml:space="preserve">нарушени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ИЛИ допущено 1-2 л</w:t>
            </w:r>
            <w:r>
              <w:rPr>
                <w:sz w:val="20"/>
                <w:szCs w:val="20"/>
              </w:rPr>
              <w:t xml:space="preserve">огически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ошиб</w:t>
            </w:r>
            <w:r>
              <w:rPr>
                <w:sz w:val="20"/>
                <w:szCs w:val="20"/>
              </w:rPr>
              <w:t xml:space="preserve">ки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</w:tr>
      <w:tr>
        <w:trPr>
          <w:trHeight w:val="514"/>
        </w:trP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сочинении прослеживается композиционный замысел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но отсутствует вступительная часть и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или вывод. Ч</w:t>
            </w:r>
            <w:r>
              <w:rPr>
                <w:sz w:val="20"/>
                <w:szCs w:val="20"/>
              </w:rPr>
              <w:t xml:space="preserve">асти </w:t>
            </w:r>
            <w:r>
              <w:rPr>
                <w:sz w:val="20"/>
                <w:szCs w:val="20"/>
              </w:rPr>
              <w:t xml:space="preserve">сочинения </w:t>
            </w:r>
            <w:r>
              <w:rPr>
                <w:sz w:val="20"/>
                <w:szCs w:val="20"/>
              </w:rPr>
              <w:t xml:space="preserve">логически связаны между собой, </w:t>
            </w:r>
            <w:r>
              <w:rPr>
                <w:b/>
                <w:sz w:val="20"/>
                <w:szCs w:val="20"/>
              </w:rPr>
              <w:t xml:space="preserve">но</w:t>
            </w:r>
            <w:r>
              <w:rPr>
                <w:sz w:val="20"/>
                <w:szCs w:val="20"/>
              </w:rPr>
              <w:t xml:space="preserve"> внутри смысловых частей есть нарушения последовательности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мысль повторяется и не развивается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ИЛИ допущено </w:t>
            </w: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</w:rPr>
              <w:t xml:space="preserve">-</w:t>
            </w: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 логические ошибки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сочинении не прослеживается композиционного замысла; допущены грубые нарушения последовательности </w:t>
            </w:r>
            <w:r>
              <w:rPr>
                <w:sz w:val="20"/>
                <w:szCs w:val="20"/>
              </w:rPr>
              <w:t xml:space="preserve">частей</w:t>
            </w:r>
            <w:r>
              <w:rPr>
                <w:sz w:val="20"/>
                <w:szCs w:val="20"/>
              </w:rPr>
              <w:t xml:space="preserve"> высказывания (отсутствует </w:t>
            </w:r>
            <w:r>
              <w:rPr>
                <w:sz w:val="20"/>
                <w:szCs w:val="20"/>
              </w:rPr>
              <w:t xml:space="preserve">тезисно</w:t>
            </w:r>
            <w:r>
              <w:rPr>
                <w:sz w:val="20"/>
                <w:szCs w:val="20"/>
              </w:rPr>
              <w:t xml:space="preserve">-доказательная часть), существенно затрудняющие понимание смысла работы. 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ИЛИ допущено </w:t>
            </w:r>
            <w:r>
              <w:rPr>
                <w:sz w:val="20"/>
                <w:szCs w:val="20"/>
              </w:rPr>
              <w:t xml:space="preserve">5 и более </w:t>
            </w:r>
            <w:r>
              <w:rPr>
                <w:sz w:val="20"/>
                <w:szCs w:val="20"/>
              </w:rPr>
              <w:t xml:space="preserve">логически</w:t>
            </w: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  <w:t xml:space="preserve"> ошиб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к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</w:p>
        </w:tc>
      </w:tr>
      <w:tr>
        <w:tc>
          <w:tcPr>
            <w:tcW w:w="14601" w:type="dxa"/>
            <w:gridSpan w:val="2"/>
          </w:tcPr>
          <w:p>
            <w:pPr>
              <w:pStyle w:val="a3"/>
              <w:numPr>
                <w:numId w:val="1"/>
                <w:ilvl w:val="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Критерий № 4. Качество письменной речи 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штампов. Речевых ошибок нет, или допущено не более 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речевых ошибок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Допущен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 речевые ошибки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Допущено 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и более речевых ошибок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</w:p>
        </w:tc>
      </w:tr>
      <w:tr>
        <w:tc>
          <w:tcPr>
            <w:tcW w:w="13608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Максимальный балл за содержание:</w:t>
            </w:r>
          </w:p>
        </w:tc>
        <w:tc>
          <w:tcPr>
            <w:tcW w:w="99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</w:t>
            </w:r>
          </w:p>
        </w:tc>
      </w:tr>
    </w:tbl>
    <w:p>
      <w:pPr>
        <w:ind w:firstLine="142"/>
        <w:jc w:val="both"/>
        <w:rPr>
          <w:b/>
          <w:sz w:val="20"/>
          <w:szCs w:val="20"/>
        </w:rPr>
      </w:pPr>
    </w:p>
    <w:p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Критерий № 5 «</w:t>
      </w:r>
      <w:r>
        <w:rPr>
          <w:b/>
          <w:sz w:val="20"/>
          <w:szCs w:val="20"/>
        </w:rPr>
        <w:t xml:space="preserve">Фактические ошибки</w:t>
      </w:r>
      <w:r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вычитается из общего количества баллов</w:t>
      </w:r>
      <w:r>
        <w:rPr>
          <w:b/>
          <w:sz w:val="20"/>
          <w:szCs w:val="20"/>
        </w:rPr>
        <w:t xml:space="preserve">:</w:t>
      </w:r>
    </w:p>
    <w:p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1-2 фактические ошибки – минус 1 балл;</w:t>
      </w:r>
      <w:r>
        <w:rPr>
          <w:sz w:val="20"/>
          <w:szCs w:val="20"/>
        </w:rPr>
        <w:t xml:space="preserve"> </w:t>
      </w:r>
    </w:p>
    <w:p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3 фактические ошибки – минус 2 балла;</w:t>
      </w:r>
    </w:p>
    <w:p>
      <w:pPr>
        <w:ind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 xml:space="preserve">4 фактические ошибки – минус 3 балла;</w:t>
      </w:r>
      <w:r>
        <w:rPr>
          <w:rFonts w:cs="Times New Roman"/>
          <w:sz w:val="20"/>
          <w:szCs w:val="20"/>
        </w:rPr>
        <w:t xml:space="preserve"> </w:t>
      </w:r>
    </w:p>
    <w:p>
      <w:pPr>
        <w:ind w:firstLine="142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5 и более фактических ошибок – работа «обнуляется» и выставляется неудовлетворительная оценка.</w:t>
      </w:r>
    </w:p>
    <w:p>
      <w:pPr>
        <w:ind w:firstLine="142"/>
        <w:jc w:val="center"/>
        <w:rPr>
          <w:b/>
          <w:sz w:val="20"/>
          <w:szCs w:val="20"/>
        </w:rPr>
      </w:pPr>
    </w:p>
    <w:p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Критерий № 6 «Грамотность» оценивается отдельно. </w:t>
      </w:r>
    </w:p>
    <w:p>
      <w:pPr>
        <w:ind w:firstLine="142"/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Примечания: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Критерии № 1 и № 2 являются приоритетными, если по одному </w:t>
      </w:r>
      <w:r>
        <w:rPr>
          <w:sz w:val="20"/>
          <w:szCs w:val="20"/>
        </w:rPr>
        <w:t xml:space="preserve">их</w:t>
      </w:r>
      <w:r>
        <w:rPr>
          <w:sz w:val="20"/>
          <w:szCs w:val="20"/>
        </w:rPr>
        <w:t xml:space="preserve"> них выставляется 0 баллов, то работа считается невыполненной, за сочинение выставляется неудовлетворительная оценка</w:t>
      </w:r>
      <w:r>
        <w:rPr>
          <w:sz w:val="20"/>
          <w:szCs w:val="20"/>
        </w:rPr>
        <w:t xml:space="preserve">;</w:t>
      </w:r>
      <w:r>
        <w:rPr>
          <w:sz w:val="20"/>
          <w:szCs w:val="20"/>
        </w:rPr>
        <w:t xml:space="preserve">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Проверяющий работу учитель вправе поставить 1 дополнительный балл за творческий, нестандартный подход, оригинальность </w:t>
      </w:r>
      <w:bookmarkStart w:id="0" w:name="_GoBack"/>
      <w:bookmarkEnd w:id="0"/>
      <w:r>
        <w:rPr>
          <w:sz w:val="20"/>
          <w:szCs w:val="20"/>
        </w:rPr>
        <w:t xml:space="preserve">стиля.</w:t>
      </w: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Рекомендации по переводу баллов в школьные оценки (по пятибалльной системе)</w:t>
      </w:r>
    </w:p>
    <w:tbl>
      <w:tblPr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991"/>
        <w:gridCol w:w="10610"/>
      </w:tblGrid>
      <w:tr>
        <w:tc>
          <w:tcPr>
            <w:tcW w:w="3991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10-11</w:t>
            </w:r>
          </w:p>
        </w:tc>
        <w:tc>
          <w:tcPr>
            <w:tcW w:w="10610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(отлично)</w:t>
            </w:r>
          </w:p>
        </w:tc>
      </w:tr>
      <w:tr>
        <w:tc>
          <w:tcPr>
            <w:tcW w:w="3991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</w:t>
            </w:r>
            <w:r>
              <w:rPr>
                <w:b/>
                <w:sz w:val="20"/>
                <w:szCs w:val="20"/>
              </w:rPr>
              <w:t xml:space="preserve">-9</w:t>
            </w:r>
          </w:p>
        </w:tc>
        <w:tc>
          <w:tcPr>
            <w:tcW w:w="10610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(хорошо)</w:t>
            </w:r>
          </w:p>
        </w:tc>
      </w:tr>
      <w:tr>
        <w:tc>
          <w:tcPr>
            <w:tcW w:w="3991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>
              <w:rPr>
                <w:b/>
                <w:sz w:val="20"/>
                <w:szCs w:val="20"/>
              </w:rPr>
              <w:t xml:space="preserve">-6</w:t>
            </w:r>
          </w:p>
        </w:tc>
        <w:tc>
          <w:tcPr>
            <w:tcW w:w="10610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(удовлетворительно)</w:t>
            </w:r>
          </w:p>
        </w:tc>
      </w:tr>
      <w:tr>
        <w:tc>
          <w:tcPr>
            <w:tcW w:w="3991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>
              <w:rPr>
                <w:b/>
                <w:sz w:val="20"/>
                <w:szCs w:val="20"/>
              </w:rPr>
              <w:t xml:space="preserve">-</w:t>
            </w:r>
            <w:r>
              <w:rPr>
                <w:b/>
                <w:sz w:val="20"/>
                <w:szCs w:val="20"/>
              </w:rPr>
              <w:t xml:space="preserve">3</w:t>
            </w:r>
          </w:p>
        </w:tc>
        <w:tc>
          <w:tcPr>
            <w:tcW w:w="10610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(неудовлетворительно) = незачёт</w:t>
            </w:r>
          </w:p>
        </w:tc>
      </w:tr>
      <w:tr>
        <w:tc>
          <w:tcPr>
            <w:tcW w:w="3991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</w:p>
        </w:tc>
        <w:tc>
          <w:tcPr>
            <w:tcW w:w="10610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(очень плохо) = незачёт</w:t>
            </w:r>
          </w:p>
        </w:tc>
      </w:tr>
    </w:tbl>
    <w:p/>
    <w:sect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40503050406030204"/>
  </w:font>
  <w:font w:name="SimSun">
    <w:panose1 w:val="02000604000000000000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7FAA8EA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</w:rPr>
    </w:lvl>
    <w:lvl w:ilvl="1" w:tentative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off"/>
      <w:spacing w:after="0" w:line="240" w:lineRule="auto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haracters>4720</Characters>
  <CharactersWithSpaces>5537</CharactersWithSpaces>
  <Company/>
  <DocSecurity>0</DocSecurity>
  <HyperlinksChanged>false</HyperlinksChanged>
  <Lines>39</Lines>
  <LinksUpToDate>false</LinksUpToDate>
  <Pages>2</Pages>
  <Paragraphs>11</Paragraphs>
  <ScaleCrop>false</ScaleCrop>
  <SharedDoc>false</SharedDoc>
  <Template>Normal.dotm</Template>
  <TotalTime>69</TotalTime>
  <Words>828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8</cp:revision>
  <dcterms:created xsi:type="dcterms:W3CDTF">2023-09-17T17:23:00Z</dcterms:created>
  <dcterms:modified xsi:type="dcterms:W3CDTF">2023-09-17T18:31:00Z</dcterms:modified>
</cp:coreProperties>
</file>