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tblpY="34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C37AA" w:rsidRPr="005C37AA" w:rsidTr="000E1727">
        <w:tc>
          <w:tcPr>
            <w:tcW w:w="4785" w:type="dxa"/>
          </w:tcPr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proofErr w:type="spellStart"/>
            <w:r w:rsidRPr="005C37A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>Аргументы</w:t>
            </w:r>
            <w:proofErr w:type="spellEnd"/>
            <w:r w:rsidRPr="005C37A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 xml:space="preserve"> А.А. З</w:t>
            </w:r>
            <w:r w:rsidRPr="005C37AA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и</w:t>
            </w:r>
            <w:proofErr w:type="spellStart"/>
            <w:r w:rsidRPr="005C37A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>миниа</w:t>
            </w:r>
            <w:proofErr w:type="spellEnd"/>
          </w:p>
        </w:tc>
        <w:tc>
          <w:tcPr>
            <w:tcW w:w="4786" w:type="dxa"/>
          </w:tcPr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proofErr w:type="spellStart"/>
            <w:r w:rsidRPr="005C37A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>Аргументы</w:t>
            </w:r>
            <w:proofErr w:type="spellEnd"/>
            <w:r w:rsidRPr="005C37A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5C37A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>Скрынникова</w:t>
            </w:r>
            <w:proofErr w:type="spellEnd"/>
            <w:r w:rsidRPr="005C37A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 xml:space="preserve"> Р.Г.</w:t>
            </w:r>
          </w:p>
        </w:tc>
      </w:tr>
      <w:tr w:rsidR="005C37AA" w:rsidRPr="005C37AA" w:rsidTr="000E1727">
        <w:trPr>
          <w:trHeight w:val="240"/>
        </w:trPr>
        <w:tc>
          <w:tcPr>
            <w:tcW w:w="9571" w:type="dxa"/>
            <w:gridSpan w:val="2"/>
          </w:tcPr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proofErr w:type="spellStart"/>
            <w:r w:rsidRPr="005C37A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>Анализ</w:t>
            </w:r>
            <w:proofErr w:type="spellEnd"/>
            <w:r w:rsidRPr="005C37A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5C37A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>Следственного</w:t>
            </w:r>
            <w:proofErr w:type="spellEnd"/>
            <w:r w:rsidRPr="005C37A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5C37A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>дела</w:t>
            </w:r>
            <w:proofErr w:type="spellEnd"/>
          </w:p>
        </w:tc>
      </w:tr>
      <w:tr w:rsidR="005C37AA" w:rsidRPr="005C37AA" w:rsidTr="000E1727">
        <w:trPr>
          <w:trHeight w:val="293"/>
        </w:trPr>
        <w:tc>
          <w:tcPr>
            <w:tcW w:w="9571" w:type="dxa"/>
            <w:gridSpan w:val="2"/>
          </w:tcPr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proofErr w:type="spellStart"/>
            <w:r w:rsidRPr="005C37A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>аргумент</w:t>
            </w:r>
            <w:proofErr w:type="spellEnd"/>
            <w:r w:rsidRPr="005C37A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 xml:space="preserve"> 1</w:t>
            </w:r>
          </w:p>
        </w:tc>
      </w:tr>
      <w:tr w:rsidR="005C37AA" w:rsidRPr="005C37AA" w:rsidTr="000E1727">
        <w:trPr>
          <w:trHeight w:val="4084"/>
        </w:trPr>
        <w:tc>
          <w:tcPr>
            <w:tcW w:w="4785" w:type="dxa"/>
          </w:tcPr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9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ind w:left="66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Следственное дело, составленное в то время комиссией, во главе с Шуйским. Основная часть материалов Следственного дела дошла до нас в виде беловой копии, т. е</w:t>
            </w:r>
            <w:proofErr w:type="gramStart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.</w:t>
            </w:r>
            <w:proofErr w:type="gramEnd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текст в начале составлялся черновой а позже был переписан. Ограничились ли составители беловой копии простой перепиской имевшихся в их распоряжении </w:t>
            </w:r>
            <w:proofErr w:type="spellStart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документов</w:t>
            </w:r>
            <w:proofErr w:type="gramStart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,н</w:t>
            </w:r>
            <w:proofErr w:type="gramEnd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еизвестно</w:t>
            </w:r>
            <w:proofErr w:type="spellEnd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. </w:t>
            </w:r>
          </w:p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663"/>
                <w:tab w:val="left" w:pos="6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ind w:left="66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Имеется еще и та трудность, что те</w:t>
            </w:r>
            <w:proofErr w:type="gramStart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кст Сл</w:t>
            </w:r>
            <w:proofErr w:type="gramEnd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едственного дела сохранился не полностью</w:t>
            </w:r>
          </w:p>
        </w:tc>
        <w:tc>
          <w:tcPr>
            <w:tcW w:w="4786" w:type="dxa"/>
          </w:tcPr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Материалам следственного дела можно доверять</w:t>
            </w:r>
            <w:proofErr w:type="gramStart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 :</w:t>
            </w:r>
            <w:proofErr w:type="gramEnd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Тщательное палеографическое исследование текста «обыска» проведенное В. К. Клейном </w:t>
            </w:r>
            <w:proofErr w:type="gramStart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показывает</w:t>
            </w:r>
            <w:proofErr w:type="gramEnd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что не было никаких фальсификаций во время составления беловой копии, Клейн подтверждает подлинность подписей свидетелей и подчеркивает, что  не было пыток при допросе кроме одной и это зафиксировано в деле</w:t>
            </w:r>
          </w:p>
        </w:tc>
      </w:tr>
      <w:tr w:rsidR="005C37AA" w:rsidRPr="005C37AA" w:rsidTr="000E1727">
        <w:trPr>
          <w:trHeight w:val="287"/>
        </w:trPr>
        <w:tc>
          <w:tcPr>
            <w:tcW w:w="9571" w:type="dxa"/>
            <w:gridSpan w:val="2"/>
          </w:tcPr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proofErr w:type="spellStart"/>
            <w:r w:rsidRPr="005C37A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>аргумент</w:t>
            </w:r>
            <w:proofErr w:type="spellEnd"/>
            <w:r w:rsidRPr="005C37A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 xml:space="preserve"> 2</w:t>
            </w:r>
          </w:p>
        </w:tc>
      </w:tr>
      <w:tr w:rsidR="005C37AA" w:rsidRPr="005C37AA" w:rsidTr="000E1727">
        <w:trPr>
          <w:trHeight w:val="180"/>
        </w:trPr>
        <w:tc>
          <w:tcPr>
            <w:tcW w:w="4785" w:type="dxa"/>
          </w:tcPr>
          <w:p w:rsidR="005C37AA" w:rsidRPr="005C37AA" w:rsidRDefault="005C37AA" w:rsidP="005C37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ind w:left="663" w:hanging="3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Комиссия Шуйского положила в основу следствия показания очевидцев: рассказ главной свидетельницы — мамки царевича Василисы </w:t>
            </w:r>
            <w:proofErr w:type="spellStart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Волоховой</w:t>
            </w:r>
            <w:proofErr w:type="spellEnd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, а также краткие свидетельства кормилицы </w:t>
            </w:r>
            <w:proofErr w:type="spellStart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Орины</w:t>
            </w:r>
            <w:proofErr w:type="spellEnd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Тучковой, постельницы Марии Колобовой и четырех ребятишек («жильцов»), которые якобы играли с Дмитрием в «</w:t>
            </w:r>
            <w:proofErr w:type="gramStart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тычку</w:t>
            </w:r>
            <w:proofErr w:type="gramEnd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» в момент его гибели.</w:t>
            </w:r>
          </w:p>
          <w:p w:rsidR="005C37AA" w:rsidRPr="005C37AA" w:rsidRDefault="005C37AA" w:rsidP="005C37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ind w:left="663" w:hanging="3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«Жильцы», кормилица и постельница ограничились односложными ответами. Всем очевидцам, находившимся на заднем дворе, грозили бы тяжелейшие последствия, если бы было установлено, что убийство совершилось при них, а они ничего не сделали для его предотвращения. Наиболее пространно говорила Василиса </w:t>
            </w:r>
            <w:proofErr w:type="spellStart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Волохова</w:t>
            </w:r>
            <w:proofErr w:type="spellEnd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 Но ведь именно ее сына и убили как одного из предполагаемых убийц царевича</w:t>
            </w:r>
          </w:p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663"/>
                <w:tab w:val="left" w:pos="6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ind w:left="66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По мнению Р. Г. Скрынникова, именно «показания Юдина начисто исключают версию об убийстве Дмитрия»[564]. Но: во-первых, что Юдин действительно видел происходившее во дворе; во-вторых, что он говорил правду относительно </w:t>
            </w:r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случившегося.</w:t>
            </w:r>
          </w:p>
        </w:tc>
        <w:tc>
          <w:tcPr>
            <w:tcW w:w="4786" w:type="dxa"/>
          </w:tcPr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lastRenderedPageBreak/>
              <w:t>Существует множество свидетелей того, что это был несчастный случай</w:t>
            </w:r>
            <w:proofErr w:type="gramStart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:</w:t>
            </w:r>
            <w:proofErr w:type="gramEnd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Дети</w:t>
            </w:r>
            <w:proofErr w:type="gramStart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,</w:t>
            </w:r>
            <w:proofErr w:type="gramEnd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гулявшие во дворе; Петрушко Колобов; Марья Колобова; мамка </w:t>
            </w:r>
            <w:proofErr w:type="spellStart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Волохова</w:t>
            </w:r>
            <w:proofErr w:type="spellEnd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; Юдин; кормилица Тучкова.</w:t>
            </w:r>
          </w:p>
        </w:tc>
      </w:tr>
      <w:tr w:rsidR="005C37AA" w:rsidRPr="005C37AA" w:rsidTr="000E1727">
        <w:trPr>
          <w:trHeight w:val="122"/>
        </w:trPr>
        <w:tc>
          <w:tcPr>
            <w:tcW w:w="9571" w:type="dxa"/>
            <w:gridSpan w:val="2"/>
          </w:tcPr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proofErr w:type="spellStart"/>
            <w:r w:rsidRPr="005C37A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lastRenderedPageBreak/>
              <w:t>аргумент</w:t>
            </w:r>
            <w:proofErr w:type="spellEnd"/>
            <w:r w:rsidRPr="005C37A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 xml:space="preserve"> 3</w:t>
            </w:r>
          </w:p>
        </w:tc>
      </w:tr>
      <w:tr w:rsidR="005C37AA" w:rsidRPr="005C37AA" w:rsidTr="000E1727">
        <w:trPr>
          <w:trHeight w:val="4857"/>
        </w:trPr>
        <w:tc>
          <w:tcPr>
            <w:tcW w:w="4785" w:type="dxa"/>
          </w:tcPr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ind w:left="3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Сразу после смерти Дмитрия распространилась весть о том, что он был убит. Но показаний лиц, отстаивавших и доказывавших эту версию, в Судном деле почти нет. Эту версию передавали, в частности, Михаил и отчасти Андрей Нагие, Мария Нагая ( хотя показаний царицы в деле вообще нет), Духовник Григория Нагого поп церкви царя Константина Богдан</w:t>
            </w:r>
            <w:proofErr w:type="gramStart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,</w:t>
            </w:r>
            <w:proofErr w:type="gramEnd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Игумен Алексеевского монастыря </w:t>
            </w:r>
            <w:proofErr w:type="spellStart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Савватий</w:t>
            </w:r>
            <w:proofErr w:type="spellEnd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у, Архимандрит </w:t>
            </w:r>
            <w:proofErr w:type="spellStart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воскресенский</w:t>
            </w:r>
            <w:proofErr w:type="spellEnd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Феодор. </w:t>
            </w:r>
          </w:p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В целом круг лиц, привлеченных комиссией к дознанию (во всяком </w:t>
            </w:r>
            <w:proofErr w:type="gramStart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случае</w:t>
            </w:r>
            <w:proofErr w:type="gramEnd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тех, чьи показания до нас дошли), несомненно, тенденциозен</w:t>
            </w:r>
          </w:p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663"/>
                <w:tab w:val="left" w:pos="6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ind w:left="66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4786" w:type="dxa"/>
          </w:tcPr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5C37AA" w:rsidRPr="005C37AA" w:rsidTr="000E1727">
        <w:trPr>
          <w:trHeight w:val="195"/>
        </w:trPr>
        <w:tc>
          <w:tcPr>
            <w:tcW w:w="9571" w:type="dxa"/>
            <w:gridSpan w:val="2"/>
          </w:tcPr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proofErr w:type="spellStart"/>
            <w:r w:rsidRPr="005C37A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>аргумент</w:t>
            </w:r>
            <w:proofErr w:type="spellEnd"/>
            <w:r w:rsidRPr="005C37A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 xml:space="preserve"> 4</w:t>
            </w:r>
          </w:p>
        </w:tc>
      </w:tr>
      <w:tr w:rsidR="005C37AA" w:rsidRPr="005C37AA" w:rsidTr="000E1727">
        <w:trPr>
          <w:trHeight w:val="697"/>
        </w:trPr>
        <w:tc>
          <w:tcPr>
            <w:tcW w:w="4785" w:type="dxa"/>
          </w:tcPr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Противоречия обнаруживаются и в рассказах о поведении Михаила </w:t>
            </w:r>
            <w:proofErr w:type="spellStart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Битяговского</w:t>
            </w:r>
            <w:proofErr w:type="spellEnd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с сыном.</w:t>
            </w:r>
            <w:proofErr w:type="gramStart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         </w:t>
            </w:r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)</w:t>
            </w:r>
            <w:proofErr w:type="gramEnd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. В челобитной </w:t>
            </w:r>
            <w:proofErr w:type="spellStart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угличских</w:t>
            </w:r>
            <w:proofErr w:type="spellEnd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proofErr w:type="spellStart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рассыльщиков</w:t>
            </w:r>
            <w:proofErr w:type="spellEnd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, поданной на другой день после начала следствия (20 мая), говорилось иное. Оказывается, Михаил </w:t>
            </w:r>
            <w:proofErr w:type="spellStart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Битяговский</w:t>
            </w:r>
            <w:proofErr w:type="spellEnd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«пришел с сыном в </w:t>
            </w:r>
            <w:proofErr w:type="spellStart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Дьячью</w:t>
            </w:r>
            <w:proofErr w:type="spellEnd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избу, а подал весть Михаилу </w:t>
            </w:r>
            <w:proofErr w:type="spellStart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Битяговскому</w:t>
            </w:r>
            <w:proofErr w:type="spellEnd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proofErr w:type="spellStart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сытник</w:t>
            </w:r>
            <w:proofErr w:type="spellEnd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proofErr w:type="spellStart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Кирило</w:t>
            </w:r>
            <w:proofErr w:type="spellEnd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Моховиков, что царевич болен черным недугом». Тогда Михаил пошел к царице на двор, а его сын остался в </w:t>
            </w:r>
            <w:proofErr w:type="spellStart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Дьячей</w:t>
            </w:r>
            <w:proofErr w:type="spellEnd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избе (XLVII). Здесь все странно: ведь о смерти царевича М. </w:t>
            </w:r>
            <w:proofErr w:type="spellStart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Битяговский</w:t>
            </w:r>
            <w:proofErr w:type="spellEnd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узнал у себя дома. В. К. Клейн считал, что Моховиков сказал дьяку о болезни, а не о смерти царевича у ворот «</w:t>
            </w:r>
            <w:proofErr w:type="spellStart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царевичева</w:t>
            </w:r>
            <w:proofErr w:type="spellEnd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двора» и что, когда тот прибежал на двор, царевич был еще жив[568]. Но в показаниях </w:t>
            </w:r>
            <w:proofErr w:type="spellStart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Моховикова</w:t>
            </w:r>
            <w:proofErr w:type="spellEnd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об этом нет ни слова. Не говорил он, как и </w:t>
            </w:r>
            <w:proofErr w:type="gramStart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поп</w:t>
            </w:r>
            <w:proofErr w:type="gramEnd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Богдан, что </w:t>
            </w:r>
            <w:proofErr w:type="spellStart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Битяговский</w:t>
            </w:r>
            <w:proofErr w:type="spellEnd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с сыном сначала отправились в </w:t>
            </w:r>
            <w:proofErr w:type="spellStart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Дьячью</w:t>
            </w:r>
            <w:proofErr w:type="spellEnd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избу, а уж потом Михаил пошел во дворец.</w:t>
            </w:r>
          </w:p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663"/>
                <w:tab w:val="left" w:pos="6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ind w:left="66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4786" w:type="dxa"/>
          </w:tcPr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Нагие обвинили в убийстве Дмитрия </w:t>
            </w:r>
            <w:proofErr w:type="spellStart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Битяговских</w:t>
            </w:r>
            <w:proofErr w:type="spellEnd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, как исполнителей, но их словам нельзя верить</w:t>
            </w:r>
          </w:p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1- они </w:t>
            </w:r>
            <w:proofErr w:type="spellStart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давнно</w:t>
            </w:r>
            <w:proofErr w:type="spellEnd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были с ними в ссоре, </w:t>
            </w:r>
            <w:proofErr w:type="gramStart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( </w:t>
            </w:r>
            <w:proofErr w:type="spellStart"/>
            <w:proofErr w:type="gramEnd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Битяговский</w:t>
            </w:r>
            <w:proofErr w:type="spellEnd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назначал им пособие) и могли подставить,</w:t>
            </w:r>
          </w:p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2- Поп Богдан (духовник Нагого) подтвердил алиби отца и сына </w:t>
            </w:r>
            <w:proofErr w:type="spellStart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Битяговских</w:t>
            </w:r>
            <w:proofErr w:type="spellEnd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, хотя пытался защитить Нагих. </w:t>
            </w:r>
          </w:p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5C37AA" w:rsidRPr="005C37AA" w:rsidTr="000E1727">
        <w:trPr>
          <w:trHeight w:val="285"/>
        </w:trPr>
        <w:tc>
          <w:tcPr>
            <w:tcW w:w="9571" w:type="dxa"/>
            <w:gridSpan w:val="2"/>
          </w:tcPr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proofErr w:type="spellStart"/>
            <w:r w:rsidRPr="005C37A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>аргумент</w:t>
            </w:r>
            <w:proofErr w:type="spellEnd"/>
            <w:r w:rsidRPr="005C37A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 xml:space="preserve"> 5</w:t>
            </w:r>
          </w:p>
        </w:tc>
      </w:tr>
      <w:tr w:rsidR="005C37AA" w:rsidRPr="005C37AA" w:rsidTr="000E1727">
        <w:trPr>
          <w:trHeight w:val="480"/>
        </w:trPr>
        <w:tc>
          <w:tcPr>
            <w:tcW w:w="4785" w:type="dxa"/>
          </w:tcPr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Михаил и Григорий Нагие говорили, что прибежали во двор, услышав звон колокола у Спаса (</w:t>
            </w:r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/>
              </w:rPr>
              <w:t>IV</w:t>
            </w:r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, </w:t>
            </w:r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/>
              </w:rPr>
              <w:t>V</w:t>
            </w:r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, </w:t>
            </w:r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/>
              </w:rPr>
              <w:t>VIII</w:t>
            </w:r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). А </w:t>
            </w:r>
            <w:proofErr w:type="spellStart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Волохова</w:t>
            </w:r>
            <w:proofErr w:type="spellEnd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упомянула, что колокол зазвонил после того, как Григорий Нагой появился во дворе (</w:t>
            </w:r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/>
              </w:rPr>
              <w:t>XIV</w:t>
            </w:r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). В. К. Клейн предположил, что могли </w:t>
            </w:r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lastRenderedPageBreak/>
              <w:t>звонить дважды: в первый раз — М. Кузнецов, во второй — Ф. Огурец. Но следствие даже не заинтересовалось Кузнецовым. Ему важно было установить связь Нагих с беспорядками и обвинить их в том, что они созвали народ, отдав распоряжение о набате.</w:t>
            </w:r>
          </w:p>
        </w:tc>
        <w:tc>
          <w:tcPr>
            <w:tcW w:w="4786" w:type="dxa"/>
          </w:tcPr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lastRenderedPageBreak/>
              <w:t xml:space="preserve">Нагие обвинили в убийстве Дмитрия </w:t>
            </w:r>
            <w:proofErr w:type="spellStart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Битяговских</w:t>
            </w:r>
            <w:proofErr w:type="spellEnd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, как исполнителей, но их словам нельзя верить</w:t>
            </w:r>
          </w:p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1- они </w:t>
            </w:r>
            <w:proofErr w:type="spellStart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давнно</w:t>
            </w:r>
            <w:proofErr w:type="spellEnd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были с ними в ссоре, </w:t>
            </w:r>
            <w:proofErr w:type="gramStart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( </w:t>
            </w:r>
            <w:proofErr w:type="spellStart"/>
            <w:proofErr w:type="gramEnd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Битяговский</w:t>
            </w:r>
            <w:proofErr w:type="spellEnd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назначал им пособие) и могли подставить,</w:t>
            </w:r>
          </w:p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lastRenderedPageBreak/>
              <w:t xml:space="preserve">2- Поп Богдан (духовник Нагого) подтвердил алиби отца и сына </w:t>
            </w:r>
            <w:proofErr w:type="spellStart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Битяговских</w:t>
            </w:r>
            <w:proofErr w:type="spellEnd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, хотя пытался защитить Нагих. </w:t>
            </w:r>
          </w:p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3 - Михаил Нагой прискакал пьян и обвинил </w:t>
            </w:r>
            <w:proofErr w:type="spellStart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Битяговского</w:t>
            </w:r>
            <w:proofErr w:type="spellEnd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, а потом пытался подделать улики и приказал положить </w:t>
            </w:r>
            <w:proofErr w:type="spellStart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окровавленые</w:t>
            </w:r>
            <w:proofErr w:type="spellEnd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нож и палицу на труп </w:t>
            </w:r>
            <w:proofErr w:type="gramStart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( </w:t>
            </w:r>
            <w:proofErr w:type="gramEnd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комиссия доказала поддельность улик), </w:t>
            </w:r>
          </w:p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4 - Нагой прискакал после удара набатного колокола и не мог ничего видеть</w:t>
            </w:r>
          </w:p>
        </w:tc>
      </w:tr>
      <w:tr w:rsidR="005C37AA" w:rsidRPr="005C37AA" w:rsidTr="000E1727">
        <w:trPr>
          <w:trHeight w:val="330"/>
        </w:trPr>
        <w:tc>
          <w:tcPr>
            <w:tcW w:w="9571" w:type="dxa"/>
            <w:gridSpan w:val="2"/>
          </w:tcPr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proofErr w:type="spellStart"/>
            <w:r w:rsidRPr="005C37A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lastRenderedPageBreak/>
              <w:t>аргумент</w:t>
            </w:r>
            <w:proofErr w:type="spellEnd"/>
            <w:r w:rsidRPr="005C37A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 xml:space="preserve"> 6</w:t>
            </w:r>
          </w:p>
        </w:tc>
      </w:tr>
      <w:tr w:rsidR="005C37AA" w:rsidRPr="005C37AA" w:rsidTr="000E1727">
        <w:trPr>
          <w:trHeight w:val="2880"/>
        </w:trPr>
        <w:tc>
          <w:tcPr>
            <w:tcW w:w="4785" w:type="dxa"/>
          </w:tcPr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предвзятости Следственного дела свидетельствует весь его ход. Все внимание комиссии направлено было не на выяснение обстоятельств смерти Дмитрия, а на доказательство того, что волнения в Угличе произошли в результате действий Нагих</w:t>
            </w:r>
          </w:p>
        </w:tc>
        <w:tc>
          <w:tcPr>
            <w:tcW w:w="4786" w:type="dxa"/>
          </w:tcPr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5C37AA" w:rsidRPr="005C37AA" w:rsidTr="000E1727">
        <w:trPr>
          <w:trHeight w:val="240"/>
        </w:trPr>
        <w:tc>
          <w:tcPr>
            <w:tcW w:w="9571" w:type="dxa"/>
            <w:gridSpan w:val="2"/>
          </w:tcPr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proofErr w:type="spellStart"/>
            <w:r w:rsidRPr="005C37A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>Состав</w:t>
            </w:r>
            <w:proofErr w:type="spellEnd"/>
            <w:r w:rsidRPr="005C37A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5C37A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>следственной</w:t>
            </w:r>
            <w:proofErr w:type="spellEnd"/>
            <w:r w:rsidRPr="005C37A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5C37A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>комиссии</w:t>
            </w:r>
            <w:proofErr w:type="spellEnd"/>
          </w:p>
        </w:tc>
      </w:tr>
      <w:tr w:rsidR="005C37AA" w:rsidRPr="005C37AA" w:rsidTr="000E1727">
        <w:trPr>
          <w:trHeight w:val="285"/>
        </w:trPr>
        <w:tc>
          <w:tcPr>
            <w:tcW w:w="9571" w:type="dxa"/>
            <w:gridSpan w:val="2"/>
          </w:tcPr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proofErr w:type="spellStart"/>
            <w:r w:rsidRPr="005C37A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>аргумент</w:t>
            </w:r>
            <w:proofErr w:type="spellEnd"/>
            <w:r w:rsidRPr="005C37A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 xml:space="preserve"> 7</w:t>
            </w:r>
          </w:p>
        </w:tc>
      </w:tr>
      <w:tr w:rsidR="005C37AA" w:rsidRPr="005C37AA" w:rsidTr="000E1727">
        <w:trPr>
          <w:trHeight w:val="930"/>
        </w:trPr>
        <w:tc>
          <w:tcPr>
            <w:tcW w:w="4785" w:type="dxa"/>
          </w:tcPr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глава Следственной комиссии кн. В. И. Шуйский после 1591 г. дважды менял свою точку зрения на события 15 мая: в 1605 г. он признал в самозванце чудом спасшегося царевича, а в 1606 г., напротив, санкционировал версию об убийстве Дмитрия Годуновым.</w:t>
            </w:r>
          </w:p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по мнению В. И. Корецкого и А. Л. Станиславского, Шуйский, вернувшийся из ссылки незадолго до событий 1591 г., был готов «на все, чтобы восстановить (хотя бы отчасти) былое положение».</w:t>
            </w:r>
          </w:p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5C37AA">
              <w:rPr>
                <w:rFonts w:ascii="Arial Unicode MS" w:eastAsia="Calibri" w:hAnsi="Arial Unicode MS" w:cs="Arial Unicode MS"/>
                <w:color w:val="000000"/>
                <w:sz w:val="24"/>
                <w:szCs w:val="24"/>
                <w:u w:color="000000"/>
                <w:bdr w:val="nil"/>
              </w:rPr>
              <w:t>Х</w:t>
            </w:r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арактер правительственной деятельности Годунова вряд ли позволяет предположить, что Дума могла производить какие-то назначения в таком </w:t>
            </w:r>
            <w:proofErr w:type="spellStart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ответственнейшем</w:t>
            </w:r>
            <w:proofErr w:type="spellEnd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деле без прямого указания Бориса.                          </w:t>
            </w:r>
          </w:p>
        </w:tc>
        <w:tc>
          <w:tcPr>
            <w:tcW w:w="4786" w:type="dxa"/>
          </w:tcPr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Верность </w:t>
            </w:r>
            <w:proofErr w:type="spellStart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заклчения</w:t>
            </w:r>
            <w:proofErr w:type="spellEnd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комиссии Шуйского подтверждается тем, что следствие вел Василий Шуйский</w:t>
            </w:r>
            <w:proofErr w:type="gramStart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,</w:t>
            </w:r>
            <w:proofErr w:type="gramEnd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противник Годунова, это было сделано специально Боярской Думой. </w:t>
            </w:r>
          </w:p>
        </w:tc>
      </w:tr>
      <w:tr w:rsidR="005C37AA" w:rsidRPr="005C37AA" w:rsidTr="000E1727">
        <w:trPr>
          <w:trHeight w:val="120"/>
        </w:trPr>
        <w:tc>
          <w:tcPr>
            <w:tcW w:w="9571" w:type="dxa"/>
            <w:gridSpan w:val="2"/>
          </w:tcPr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proofErr w:type="spellStart"/>
            <w:r w:rsidRPr="005C37A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>аргумент</w:t>
            </w:r>
            <w:proofErr w:type="spellEnd"/>
            <w:r w:rsidRPr="005C37A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 xml:space="preserve"> 8</w:t>
            </w:r>
          </w:p>
        </w:tc>
      </w:tr>
      <w:tr w:rsidR="005C37AA" w:rsidRPr="005C37AA" w:rsidTr="000E1727">
        <w:trPr>
          <w:trHeight w:val="135"/>
        </w:trPr>
        <w:tc>
          <w:tcPr>
            <w:tcW w:w="4785" w:type="dxa"/>
          </w:tcPr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 Unicode MS" w:eastAsia="Calibri" w:hAnsi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Следственное дело было построено так, чтобы его материалы свидетельствовали о вине Нагих в </w:t>
            </w:r>
            <w:proofErr w:type="spellStart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угличских</w:t>
            </w:r>
            <w:proofErr w:type="spellEnd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событиях. Именно такой вывод был сделан Освященным собором 2 июня. Значит, ни о каком стремлении Годунова примириться с Нагими не может вестись речь. </w:t>
            </w:r>
          </w:p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В семье Нагих именно Григорий поддержал версию о «</w:t>
            </w:r>
            <w:proofErr w:type="spellStart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самозаклании</w:t>
            </w:r>
            <w:proofErr w:type="spellEnd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» царевича, принятую Следственной комиссией. </w:t>
            </w:r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lastRenderedPageBreak/>
              <w:t xml:space="preserve">Григорий, конечно, боялся расплаты за </w:t>
            </w:r>
            <w:proofErr w:type="gramStart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содеянное</w:t>
            </w:r>
            <w:proofErr w:type="gramEnd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. Ведь именно он с братом Михаилом приказал убить </w:t>
            </w:r>
            <w:proofErr w:type="spellStart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Битяговских</w:t>
            </w:r>
            <w:proofErr w:type="spellEnd"/>
            <w:proofErr w:type="gramStart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.</w:t>
            </w:r>
            <w:proofErr w:type="gramEnd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Очевидно, он говорил на следствии то, что ему подсказал его тесть — один из членов комиссии — А. П. </w:t>
            </w:r>
            <w:proofErr w:type="spellStart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Клешнин</w:t>
            </w:r>
            <w:proofErr w:type="spellEnd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.</w:t>
            </w:r>
          </w:p>
        </w:tc>
        <w:tc>
          <w:tcPr>
            <w:tcW w:w="4786" w:type="dxa"/>
          </w:tcPr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lastRenderedPageBreak/>
              <w:t xml:space="preserve">Вторым членом комиссии был  А. П. </w:t>
            </w:r>
            <w:proofErr w:type="spellStart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Клешин</w:t>
            </w:r>
            <w:proofErr w:type="spellEnd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( зять Нагого</w:t>
            </w:r>
            <w:proofErr w:type="gramStart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,</w:t>
            </w:r>
            <w:proofErr w:type="gramEnd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одного их обвиняемых в измене)</w:t>
            </w:r>
          </w:p>
        </w:tc>
      </w:tr>
      <w:tr w:rsidR="005C37AA" w:rsidRPr="005C37AA" w:rsidTr="000E1727">
        <w:trPr>
          <w:trHeight w:val="105"/>
        </w:trPr>
        <w:tc>
          <w:tcPr>
            <w:tcW w:w="9571" w:type="dxa"/>
            <w:gridSpan w:val="2"/>
          </w:tcPr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proofErr w:type="spellStart"/>
            <w:r w:rsidRPr="005C37A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lastRenderedPageBreak/>
              <w:t>аргумент</w:t>
            </w:r>
            <w:proofErr w:type="spellEnd"/>
            <w:r w:rsidRPr="005C37A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 xml:space="preserve"> 9</w:t>
            </w:r>
          </w:p>
        </w:tc>
      </w:tr>
      <w:tr w:rsidR="005C37AA" w:rsidRPr="005C37AA" w:rsidTr="000E1727">
        <w:trPr>
          <w:trHeight w:val="119"/>
        </w:trPr>
        <w:tc>
          <w:tcPr>
            <w:tcW w:w="4785" w:type="dxa"/>
          </w:tcPr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Третий член Следственной комиссии — дьяк </w:t>
            </w:r>
            <w:proofErr w:type="spellStart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Елизарий</w:t>
            </w:r>
            <w:proofErr w:type="spellEnd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</w:t>
            </w:r>
            <w:proofErr w:type="spellStart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Вылузгин</w:t>
            </w:r>
            <w:proofErr w:type="spellEnd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был также крупной фигурой. Еще в 1581 г. он принадлежал к числу «ближних великих людей», являлся думным дьяком и принимал участие в посольских переговорах; с 1583/84 т. ведал Поместным приказом; часто заменял Дружину </w:t>
            </w:r>
            <w:proofErr w:type="spellStart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Петелина</w:t>
            </w:r>
            <w:proofErr w:type="spellEnd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в качестве четвертного дьяка. Углич находился в ведомстве четверти Д. </w:t>
            </w:r>
            <w:proofErr w:type="spellStart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Петелина</w:t>
            </w:r>
            <w:proofErr w:type="spellEnd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и в 1590 г. был в числе городов, которым выдал грамоты </w:t>
            </w:r>
            <w:proofErr w:type="spellStart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Вылузгин</w:t>
            </w:r>
            <w:proofErr w:type="spellEnd"/>
          </w:p>
        </w:tc>
        <w:tc>
          <w:tcPr>
            <w:tcW w:w="4786" w:type="dxa"/>
          </w:tcPr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5C37AA" w:rsidRPr="005C37AA" w:rsidTr="000E1727">
        <w:tc>
          <w:tcPr>
            <w:tcW w:w="9571" w:type="dxa"/>
            <w:gridSpan w:val="2"/>
          </w:tcPr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proofErr w:type="spellStart"/>
            <w:r w:rsidRPr="005C37A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>Исторический</w:t>
            </w:r>
            <w:proofErr w:type="spellEnd"/>
            <w:r w:rsidRPr="005C37A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5C37A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>контекст</w:t>
            </w:r>
            <w:proofErr w:type="spellEnd"/>
          </w:p>
        </w:tc>
      </w:tr>
      <w:tr w:rsidR="005C37AA" w:rsidRPr="005C37AA" w:rsidTr="000E1727">
        <w:trPr>
          <w:trHeight w:val="270"/>
        </w:trPr>
        <w:tc>
          <w:tcPr>
            <w:tcW w:w="9571" w:type="dxa"/>
            <w:gridSpan w:val="2"/>
          </w:tcPr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proofErr w:type="spellStart"/>
            <w:r w:rsidRPr="005C37A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>аргумент</w:t>
            </w:r>
            <w:proofErr w:type="spellEnd"/>
            <w:r w:rsidRPr="005C37A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 xml:space="preserve"> 10</w:t>
            </w:r>
          </w:p>
        </w:tc>
      </w:tr>
      <w:tr w:rsidR="005C37AA" w:rsidRPr="005C37AA" w:rsidTr="000E1727">
        <w:trPr>
          <w:trHeight w:val="4241"/>
        </w:trPr>
        <w:tc>
          <w:tcPr>
            <w:tcW w:w="4785" w:type="dxa"/>
          </w:tcPr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4786" w:type="dxa"/>
          </w:tcPr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Между Нагими, родственниками царевича Дмитрия и царем Федором существовала борьба за власть. </w:t>
            </w:r>
          </w:p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а) Нагие только и  ждали смерти царя Федора, они </w:t>
            </w:r>
            <w:proofErr w:type="gramStart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хотели</w:t>
            </w:r>
            <w:proofErr w:type="gramEnd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чтобы Дмитрий быстрее </w:t>
            </w:r>
            <w:proofErr w:type="spellStart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взашел</w:t>
            </w:r>
            <w:proofErr w:type="spellEnd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на престол. </w:t>
            </w:r>
          </w:p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б) Нагие были высланы в Углич за неделю до коронации Федора и не присутствовали как родственники на коронации. </w:t>
            </w:r>
          </w:p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в) Федор, по научению Годунова  приказал перестать упоминать на богослужениях имя Дмитрия, по причине того, что он был признан незаконнорожденным.</w:t>
            </w:r>
          </w:p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г) было сокращено довольствие Нагих в Угличе.</w:t>
            </w:r>
          </w:p>
        </w:tc>
      </w:tr>
      <w:tr w:rsidR="005C37AA" w:rsidRPr="005C37AA" w:rsidTr="000E1727">
        <w:trPr>
          <w:trHeight w:val="285"/>
        </w:trPr>
        <w:tc>
          <w:tcPr>
            <w:tcW w:w="9571" w:type="dxa"/>
            <w:gridSpan w:val="2"/>
          </w:tcPr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proofErr w:type="spellStart"/>
            <w:r w:rsidRPr="005C37A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>аргумент</w:t>
            </w:r>
            <w:proofErr w:type="spellEnd"/>
            <w:r w:rsidRPr="005C37A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 xml:space="preserve"> 11</w:t>
            </w:r>
          </w:p>
        </w:tc>
      </w:tr>
      <w:tr w:rsidR="005C37AA" w:rsidRPr="005C37AA" w:rsidTr="000E1727">
        <w:trPr>
          <w:trHeight w:val="2880"/>
        </w:trPr>
        <w:tc>
          <w:tcPr>
            <w:tcW w:w="4785" w:type="dxa"/>
          </w:tcPr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</w:t>
            </w:r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Однако однозначного ответа на то кто </w:t>
            </w:r>
            <w:proofErr w:type="gramStart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поджег Москву нет</w:t>
            </w:r>
            <w:proofErr w:type="gramEnd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. Ссылка Дмитрия в Углич и его смерть вполне соответствуют типичному для Бориса способу устранения противников. А общая тенденция Следственного дела свести все к виновности Нагих в волнениях на Угличе напоминает стремление Бориса обвинить их же в московских пожарах 1591 г., что не соответствовало действительности.</w:t>
            </w:r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            </w:t>
            </w:r>
          </w:p>
        </w:tc>
        <w:tc>
          <w:tcPr>
            <w:tcW w:w="4786" w:type="dxa"/>
          </w:tcPr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Нагие распускали слухи и хотели очернить имя Бориса Годунова</w:t>
            </w:r>
            <w:proofErr w:type="gramStart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:</w:t>
            </w:r>
            <w:proofErr w:type="gramEnd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</w:t>
            </w:r>
          </w:p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а) обвинив его в пожаре Москвы, </w:t>
            </w:r>
            <w:proofErr w:type="gramStart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( </w:t>
            </w:r>
            <w:proofErr w:type="gramEnd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хотя по </w:t>
            </w:r>
            <w:proofErr w:type="spellStart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офицальной</w:t>
            </w:r>
            <w:proofErr w:type="spellEnd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версии дела, разобранного еще в те годы, обвинили в поджоге самих Нагих</w:t>
            </w:r>
          </w:p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б) В Угличе распространялись слухи о том, что от яда, предназначенного Дмитрию  умерла его кормилица, которая в действительности пережила его</w:t>
            </w:r>
            <w:proofErr w:type="gramStart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.</w:t>
            </w:r>
            <w:proofErr w:type="gramEnd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</w:t>
            </w:r>
            <w:proofErr w:type="gramStart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г</w:t>
            </w:r>
            <w:proofErr w:type="gramEnd"/>
          </w:p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в) Бориса Годунова обвинили в том, что по его приказу его зарезали царевича Дмитрия</w:t>
            </w:r>
          </w:p>
        </w:tc>
      </w:tr>
      <w:tr w:rsidR="005C37AA" w:rsidRPr="005C37AA" w:rsidTr="000E1727">
        <w:trPr>
          <w:trHeight w:val="255"/>
        </w:trPr>
        <w:tc>
          <w:tcPr>
            <w:tcW w:w="9571" w:type="dxa"/>
            <w:gridSpan w:val="2"/>
          </w:tcPr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proofErr w:type="spellStart"/>
            <w:r w:rsidRPr="005C37A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>аргумент</w:t>
            </w:r>
            <w:proofErr w:type="spellEnd"/>
            <w:r w:rsidRPr="005C37A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 xml:space="preserve"> 12</w:t>
            </w:r>
          </w:p>
        </w:tc>
      </w:tr>
      <w:tr w:rsidR="005C37AA" w:rsidRPr="005C37AA" w:rsidTr="000E1727">
        <w:trPr>
          <w:trHeight w:val="1260"/>
        </w:trPr>
        <w:tc>
          <w:tcPr>
            <w:tcW w:w="4785" w:type="dxa"/>
          </w:tcPr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lastRenderedPageBreak/>
              <w:t>У</w:t>
            </w:r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бийство Дмитрия было выгодно Годунову. В самом деле, к 1591 г. у царя Федора наследников престола не было. В случае его смерти законным царем становился Дмитрий, а правителями — его родичи Нагие. Тогда «лорду-протектору» (так называли англичане Бориса), повинному в опале Нагих, грозила бы в лучшем случае немилость, а в худшем — смерть. Поэтому, казалось бы, Борис должен был желать смерти Дмитрию, ибо она открывала дорогу к престолу жене Федора Ирине, а как показали дальнейшие события, и самому Годунову.</w:t>
            </w:r>
          </w:p>
        </w:tc>
        <w:tc>
          <w:tcPr>
            <w:tcW w:w="4786" w:type="dxa"/>
          </w:tcPr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Мысль о </w:t>
            </w:r>
            <w:proofErr w:type="gramStart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том</w:t>
            </w:r>
            <w:proofErr w:type="gramEnd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что Годунов хотел убить Дмитрия как претендента не оправдана т. к. существовал более явный претендент  -  Михаил Романов и  в тот год Годунов ждал наследника, Ирина, его сестра, ждала</w:t>
            </w:r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/>
              </w:rPr>
              <w:t> </w:t>
            </w:r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ребенка</w:t>
            </w:r>
          </w:p>
        </w:tc>
      </w:tr>
      <w:tr w:rsidR="005C37AA" w:rsidRPr="005C37AA" w:rsidTr="000E1727">
        <w:trPr>
          <w:trHeight w:val="315"/>
        </w:trPr>
        <w:tc>
          <w:tcPr>
            <w:tcW w:w="9571" w:type="dxa"/>
            <w:gridSpan w:val="2"/>
          </w:tcPr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proofErr w:type="spellStart"/>
            <w:r w:rsidRPr="005C37A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>аргумент</w:t>
            </w:r>
            <w:proofErr w:type="spellEnd"/>
            <w:r w:rsidRPr="005C37A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 xml:space="preserve"> 13</w:t>
            </w:r>
          </w:p>
        </w:tc>
      </w:tr>
      <w:tr w:rsidR="005C37AA" w:rsidRPr="005C37AA" w:rsidTr="000E1727">
        <w:trPr>
          <w:trHeight w:val="885"/>
        </w:trPr>
        <w:tc>
          <w:tcPr>
            <w:tcW w:w="4785" w:type="dxa"/>
          </w:tcPr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4786" w:type="dxa"/>
          </w:tcPr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в Ярославле не поддержали мятеж против Годунова вместе с </w:t>
            </w:r>
            <w:proofErr w:type="spellStart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Угличянами</w:t>
            </w:r>
            <w:proofErr w:type="spellEnd"/>
          </w:p>
        </w:tc>
      </w:tr>
      <w:tr w:rsidR="005C37AA" w:rsidRPr="005C37AA" w:rsidTr="000E1727">
        <w:trPr>
          <w:trHeight w:val="255"/>
        </w:trPr>
        <w:tc>
          <w:tcPr>
            <w:tcW w:w="9571" w:type="dxa"/>
            <w:gridSpan w:val="2"/>
          </w:tcPr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proofErr w:type="spellStart"/>
            <w:r w:rsidRPr="005C37A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>аргумент</w:t>
            </w:r>
            <w:proofErr w:type="spellEnd"/>
            <w:r w:rsidRPr="005C37A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 xml:space="preserve"> 14</w:t>
            </w:r>
          </w:p>
        </w:tc>
      </w:tr>
      <w:tr w:rsidR="005C37AA" w:rsidRPr="005C37AA" w:rsidTr="000E1727">
        <w:trPr>
          <w:trHeight w:val="1125"/>
        </w:trPr>
        <w:tc>
          <w:tcPr>
            <w:tcW w:w="4785" w:type="dxa"/>
          </w:tcPr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4786" w:type="dxa"/>
          </w:tcPr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proofErr w:type="spellStart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Доказанно</w:t>
            </w:r>
            <w:proofErr w:type="spellEnd"/>
            <w:proofErr w:type="gramStart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,</w:t>
            </w:r>
            <w:proofErr w:type="gramEnd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что Дмитрий страдал эпилепсией, и в момент гибели имел в руках нож, следовательно мог наколоться </w:t>
            </w:r>
          </w:p>
        </w:tc>
      </w:tr>
      <w:tr w:rsidR="005C37AA" w:rsidRPr="005C37AA" w:rsidTr="000E1727">
        <w:trPr>
          <w:trHeight w:val="300"/>
        </w:trPr>
        <w:tc>
          <w:tcPr>
            <w:tcW w:w="9571" w:type="dxa"/>
            <w:gridSpan w:val="2"/>
          </w:tcPr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proofErr w:type="spellStart"/>
            <w:r w:rsidRPr="005C37A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>аргумент</w:t>
            </w:r>
            <w:proofErr w:type="spellEnd"/>
            <w:r w:rsidRPr="005C37A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 xml:space="preserve"> 15</w:t>
            </w:r>
          </w:p>
        </w:tc>
      </w:tr>
      <w:tr w:rsidR="005C37AA" w:rsidRPr="005C37AA" w:rsidTr="000E1727">
        <w:trPr>
          <w:trHeight w:val="915"/>
        </w:trPr>
        <w:tc>
          <w:tcPr>
            <w:tcW w:w="4785" w:type="dxa"/>
          </w:tcPr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Позже церковь признала убийство царевича Дмитрия</w:t>
            </w:r>
            <w:proofErr w:type="gramStart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.</w:t>
            </w:r>
            <w:proofErr w:type="gramEnd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н был причислен к лику Святых</w:t>
            </w:r>
          </w:p>
        </w:tc>
        <w:tc>
          <w:tcPr>
            <w:tcW w:w="4786" w:type="dxa"/>
          </w:tcPr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Патриарх Иов и собор  одобрили работу </w:t>
            </w:r>
            <w:proofErr w:type="gramStart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комиссии</w:t>
            </w:r>
            <w:proofErr w:type="gramEnd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подтвердили ее мнение и обвинили Нагих в измене</w:t>
            </w:r>
          </w:p>
        </w:tc>
      </w:tr>
      <w:tr w:rsidR="005C37AA" w:rsidRPr="005C37AA" w:rsidTr="000E1727">
        <w:tc>
          <w:tcPr>
            <w:tcW w:w="9571" w:type="dxa"/>
            <w:gridSpan w:val="2"/>
          </w:tcPr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proofErr w:type="spellStart"/>
            <w:r w:rsidRPr="005C37A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>свидетельства</w:t>
            </w:r>
            <w:proofErr w:type="spellEnd"/>
            <w:r w:rsidRPr="005C37A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5C37A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>иностранцев</w:t>
            </w:r>
            <w:proofErr w:type="spellEnd"/>
          </w:p>
        </w:tc>
      </w:tr>
      <w:tr w:rsidR="005C37AA" w:rsidRPr="005C37AA" w:rsidTr="000E1727">
        <w:tc>
          <w:tcPr>
            <w:tcW w:w="9571" w:type="dxa"/>
            <w:gridSpan w:val="2"/>
          </w:tcPr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proofErr w:type="spellStart"/>
            <w:r w:rsidRPr="005C37A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>аргумент</w:t>
            </w:r>
            <w:proofErr w:type="spellEnd"/>
            <w:r w:rsidRPr="005C37A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 xml:space="preserve"> 16</w:t>
            </w:r>
          </w:p>
        </w:tc>
      </w:tr>
      <w:tr w:rsidR="005C37AA" w:rsidRPr="005C37AA" w:rsidTr="000E1727">
        <w:trPr>
          <w:trHeight w:val="1695"/>
        </w:trPr>
        <w:tc>
          <w:tcPr>
            <w:tcW w:w="4785" w:type="dxa"/>
          </w:tcPr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Действительно, в более поздних мемуарах </w:t>
            </w:r>
            <w:proofErr w:type="spellStart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Горсей</w:t>
            </w:r>
            <w:proofErr w:type="spellEnd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красочно описывает, как к нему в Ярославле прибежал Афанасий Федорович и сообщил: </w:t>
            </w:r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val="fr-FR"/>
              </w:rPr>
              <w:t>«Царевич Дмитрий мертв</w:t>
            </w:r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, дьяки зарезали его около шести часов; один из слуг признался на пытке, что его послал Борис; царица отравлена и при смерти». Но после этого </w:t>
            </w:r>
            <w:proofErr w:type="spellStart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Горсей</w:t>
            </w:r>
            <w:proofErr w:type="spellEnd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пишет</w:t>
            </w:r>
            <w:proofErr w:type="gramStart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: </w:t>
            </w:r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val="fr-FR"/>
              </w:rPr>
              <w:t>«</w:t>
            </w:r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..</w:t>
            </w:r>
            <w:proofErr w:type="gramEnd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город был разбужен караульными, рассказывавшими, как был убит царевич Дмитрий». Таким образом, сводить сообщение </w:t>
            </w:r>
            <w:proofErr w:type="spellStart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Горсея</w:t>
            </w:r>
            <w:proofErr w:type="spellEnd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к рассказу одного А. Ф. Нагого нельзя. </w:t>
            </w:r>
            <w:proofErr w:type="spellStart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/>
              </w:rPr>
              <w:t>Ярославль</w:t>
            </w:r>
            <w:proofErr w:type="spellEnd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/>
              </w:rPr>
              <w:t>был</w:t>
            </w:r>
            <w:proofErr w:type="spellEnd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/>
              </w:rPr>
              <w:t>наполнен</w:t>
            </w:r>
            <w:proofErr w:type="spellEnd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/>
              </w:rPr>
              <w:t>слухами</w:t>
            </w:r>
            <w:proofErr w:type="spellEnd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/>
              </w:rPr>
              <w:t>различной</w:t>
            </w:r>
            <w:proofErr w:type="spellEnd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/>
              </w:rPr>
              <w:t>достоверности</w:t>
            </w:r>
            <w:proofErr w:type="spellEnd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/>
              </w:rPr>
              <w:t>.</w:t>
            </w:r>
          </w:p>
        </w:tc>
        <w:tc>
          <w:tcPr>
            <w:tcW w:w="4786" w:type="dxa"/>
          </w:tcPr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Свидетельства иностранцев построены на слухах, </w:t>
            </w:r>
            <w:proofErr w:type="spellStart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Горсей</w:t>
            </w:r>
            <w:proofErr w:type="spellEnd"/>
            <w:r w:rsidRPr="005C37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обвинил в убийстве Годунова, но информацию он получил от А.Ф. Нагого</w:t>
            </w:r>
          </w:p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5C37AA" w:rsidRPr="005C37AA" w:rsidTr="000E1727">
        <w:trPr>
          <w:trHeight w:val="378"/>
        </w:trPr>
        <w:tc>
          <w:tcPr>
            <w:tcW w:w="9571" w:type="dxa"/>
            <w:gridSpan w:val="2"/>
          </w:tcPr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proofErr w:type="spellStart"/>
            <w:r w:rsidRPr="005C37A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>аргумент</w:t>
            </w:r>
            <w:proofErr w:type="spellEnd"/>
            <w:r w:rsidRPr="005C37A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 xml:space="preserve"> 17</w:t>
            </w:r>
          </w:p>
        </w:tc>
      </w:tr>
      <w:tr w:rsidR="005C37AA" w:rsidRPr="005C37AA" w:rsidTr="000E1727">
        <w:trPr>
          <w:trHeight w:val="345"/>
        </w:trPr>
        <w:tc>
          <w:tcPr>
            <w:tcW w:w="4785" w:type="dxa"/>
          </w:tcPr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Исаак Масса </w:t>
            </w:r>
            <w:proofErr w:type="gramStart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описал</w:t>
            </w:r>
            <w:proofErr w:type="gramEnd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что  </w:t>
            </w:r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/>
              </w:rPr>
              <w:t>XVII</w:t>
            </w:r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в. Борис, убил </w:t>
            </w:r>
            <w:proofErr w:type="spellStart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царевичва</w:t>
            </w:r>
            <w:proofErr w:type="spellEnd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руками </w:t>
            </w:r>
            <w:proofErr w:type="spellStart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Битяговских</w:t>
            </w:r>
            <w:proofErr w:type="spellEnd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и Качалова….чтобы добиться престола.  </w:t>
            </w:r>
          </w:p>
        </w:tc>
        <w:tc>
          <w:tcPr>
            <w:tcW w:w="4786" w:type="dxa"/>
          </w:tcPr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5C37AA" w:rsidRPr="005C37AA" w:rsidTr="000E1727">
        <w:trPr>
          <w:trHeight w:val="150"/>
        </w:trPr>
        <w:tc>
          <w:tcPr>
            <w:tcW w:w="9571" w:type="dxa"/>
            <w:gridSpan w:val="2"/>
          </w:tcPr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proofErr w:type="spellStart"/>
            <w:r w:rsidRPr="005C37A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>Литература</w:t>
            </w:r>
            <w:proofErr w:type="spellEnd"/>
          </w:p>
        </w:tc>
      </w:tr>
      <w:tr w:rsidR="005C37AA" w:rsidRPr="005C37AA" w:rsidTr="000E1727">
        <w:trPr>
          <w:trHeight w:val="104"/>
        </w:trPr>
        <w:tc>
          <w:tcPr>
            <w:tcW w:w="9571" w:type="dxa"/>
            <w:gridSpan w:val="2"/>
          </w:tcPr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proofErr w:type="spellStart"/>
            <w:r w:rsidRPr="005C37A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>аргумент</w:t>
            </w:r>
            <w:proofErr w:type="spellEnd"/>
            <w:r w:rsidRPr="005C37A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 xml:space="preserve"> 18</w:t>
            </w:r>
          </w:p>
        </w:tc>
      </w:tr>
      <w:tr w:rsidR="005C37AA" w:rsidRPr="005C37AA" w:rsidTr="000E1727">
        <w:trPr>
          <w:trHeight w:val="825"/>
        </w:trPr>
        <w:tc>
          <w:tcPr>
            <w:tcW w:w="4785" w:type="dxa"/>
          </w:tcPr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proofErr w:type="spellStart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lastRenderedPageBreak/>
              <w:t>Литературныепроизведения</w:t>
            </w:r>
            <w:proofErr w:type="spellEnd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возникли  в годы царствования Василия Шуйского и Михаила Романова, и в них обосновывалась версия об убийстве Дмитрия лицами, подосланными Годуновым.</w:t>
            </w:r>
          </w:p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Среди них есть такие произведения как «</w:t>
            </w:r>
            <w:proofErr w:type="spellStart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Новомфй</w:t>
            </w:r>
            <w:proofErr w:type="spellEnd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</w:t>
            </w:r>
            <w:proofErr w:type="spellStart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Летописц</w:t>
            </w:r>
            <w:proofErr w:type="spellEnd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», в котором рассказывается, что Михаил </w:t>
            </w:r>
            <w:proofErr w:type="spellStart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Битяговский</w:t>
            </w:r>
            <w:proofErr w:type="spellEnd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, вместе с сыном и племянником, </w:t>
            </w:r>
            <w:proofErr w:type="spellStart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сговорясь</w:t>
            </w:r>
            <w:proofErr w:type="spellEnd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с мамкой Марией </w:t>
            </w:r>
            <w:proofErr w:type="spellStart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Волоховой</w:t>
            </w:r>
            <w:proofErr w:type="spellEnd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, сотворили убийство</w:t>
            </w:r>
          </w:p>
        </w:tc>
        <w:tc>
          <w:tcPr>
            <w:tcW w:w="4786" w:type="dxa"/>
          </w:tcPr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Однако нет пока полной ясности в том, какие летописные источники использовал составитель «Нового летописца», некоторые моменты заставляют внимательно отнестись к его сведениям о событиях</w:t>
            </w:r>
          </w:p>
        </w:tc>
      </w:tr>
      <w:tr w:rsidR="005C37AA" w:rsidRPr="005C37AA" w:rsidTr="000E1727">
        <w:trPr>
          <w:trHeight w:val="370"/>
        </w:trPr>
        <w:tc>
          <w:tcPr>
            <w:tcW w:w="9571" w:type="dxa"/>
            <w:gridSpan w:val="2"/>
          </w:tcPr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proofErr w:type="spellStart"/>
            <w:r w:rsidRPr="005C37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>аргумент</w:t>
            </w:r>
            <w:proofErr w:type="spellEnd"/>
            <w:r w:rsidRPr="005C37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/>
              </w:rPr>
              <w:t xml:space="preserve"> 19</w:t>
            </w:r>
          </w:p>
        </w:tc>
      </w:tr>
      <w:tr w:rsidR="005C37AA" w:rsidRPr="005C37AA" w:rsidTr="000E1727">
        <w:trPr>
          <w:trHeight w:val="237"/>
        </w:trPr>
        <w:tc>
          <w:tcPr>
            <w:tcW w:w="4785" w:type="dxa"/>
          </w:tcPr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Следующий источник это «Сказание о царстве царя Федор</w:t>
            </w:r>
            <w:proofErr w:type="gramStart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а Иоа</w:t>
            </w:r>
            <w:proofErr w:type="gramEnd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нновича»</w:t>
            </w:r>
          </w:p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. Составитель «Сказания» добавил только, что во время следствия окольничий А. П. </w:t>
            </w:r>
            <w:proofErr w:type="spellStart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Клешнин</w:t>
            </w:r>
            <w:proofErr w:type="spellEnd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«учел </w:t>
            </w:r>
            <w:proofErr w:type="spellStart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рыкати</w:t>
            </w:r>
            <w:proofErr w:type="spellEnd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на граждан, аки лев», когда ему сказали правду. Среди Нагих, отстаивавших версию об убийстве царевича, здесь </w:t>
            </w:r>
            <w:proofErr w:type="gramStart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названы</w:t>
            </w:r>
            <w:proofErr w:type="gramEnd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Михаил и Андрей, а Григорий не упомянут.</w:t>
            </w:r>
          </w:p>
        </w:tc>
        <w:tc>
          <w:tcPr>
            <w:tcW w:w="4786" w:type="dxa"/>
          </w:tcPr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663"/>
                <w:tab w:val="left" w:pos="690"/>
              </w:tabs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Это целиком соответствует Следственному делу, согласно которому только Григорий отступил от позиции Нагих и поддержал официальную версию о «</w:t>
            </w:r>
            <w:proofErr w:type="spellStart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самозаклании</w:t>
            </w:r>
            <w:proofErr w:type="spellEnd"/>
            <w:r w:rsidRPr="005C3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» Дмитрия.</w:t>
            </w:r>
          </w:p>
          <w:p w:rsidR="005C37AA" w:rsidRPr="005C37AA" w:rsidRDefault="005C37AA" w:rsidP="005C3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</w:tbl>
    <w:p w:rsidR="00FB7121" w:rsidRDefault="00FB7121">
      <w:bookmarkStart w:id="0" w:name="_GoBack"/>
      <w:bookmarkEnd w:id="0"/>
    </w:p>
    <w:sectPr w:rsidR="00FB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F0837"/>
    <w:multiLevelType w:val="multilevel"/>
    <w:tmpl w:val="95D800D6"/>
    <w:styleLink w:val="List0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4"/>
        <w:szCs w:val="24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position w:val="0"/>
        <w:sz w:val="24"/>
        <w:szCs w:val="24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 Unicode MS" w:eastAsia="Arial Unicode MS" w:hAnsi="Arial Unicode MS" w:cs="Arial Unicode MS"/>
        <w:position w:val="0"/>
        <w:sz w:val="24"/>
        <w:szCs w:val="24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position w:val="0"/>
        <w:sz w:val="24"/>
        <w:szCs w:val="24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position w:val="0"/>
        <w:sz w:val="24"/>
        <w:szCs w:val="24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 Unicode MS" w:eastAsia="Arial Unicode MS" w:hAnsi="Arial Unicode MS" w:cs="Arial Unicode MS"/>
        <w:position w:val="0"/>
        <w:sz w:val="24"/>
        <w:szCs w:val="24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position w:val="0"/>
        <w:sz w:val="24"/>
        <w:szCs w:val="24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position w:val="0"/>
        <w:sz w:val="24"/>
        <w:szCs w:val="24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 Unicode MS" w:eastAsia="Arial Unicode MS" w:hAnsi="Arial Unicode MS" w:cs="Arial Unicode MS"/>
        <w:position w:val="0"/>
        <w:sz w:val="24"/>
        <w:szCs w:val="24"/>
        <w:rtl w:val="0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AA"/>
    <w:rsid w:val="005C37AA"/>
    <w:rsid w:val="00FB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C3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0">
    <w:name w:val="List 0"/>
    <w:basedOn w:val="a2"/>
    <w:rsid w:val="005C37AA"/>
    <w:pPr>
      <w:numPr>
        <w:numId w:val="1"/>
      </w:numPr>
    </w:pPr>
  </w:style>
  <w:style w:type="table" w:styleId="a3">
    <w:name w:val="Table Grid"/>
    <w:basedOn w:val="a1"/>
    <w:uiPriority w:val="59"/>
    <w:rsid w:val="005C3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C3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0">
    <w:name w:val="List 0"/>
    <w:basedOn w:val="a2"/>
    <w:rsid w:val="005C37AA"/>
    <w:pPr>
      <w:numPr>
        <w:numId w:val="1"/>
      </w:numPr>
    </w:pPr>
  </w:style>
  <w:style w:type="table" w:styleId="a3">
    <w:name w:val="Table Grid"/>
    <w:basedOn w:val="a1"/>
    <w:uiPriority w:val="59"/>
    <w:rsid w:val="005C3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1690</Words>
  <Characters>9637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2014-12-05T18:19:00Z</dcterms:created>
  <dcterms:modified xsi:type="dcterms:W3CDTF">2014-12-05T18:24:00Z</dcterms:modified>
</cp:coreProperties>
</file>